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625" w:rsidRDefault="00F02E32" w:rsidP="00F02E32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Семинарское заятие </w:t>
      </w:r>
      <w:r>
        <w:rPr>
          <w:rFonts w:ascii="Times New Roman" w:hAnsi="Times New Roman" w:cs="Times New Roman"/>
          <w:sz w:val="24"/>
          <w:szCs w:val="24"/>
          <w:lang w:val="ru-RU"/>
        </w:rPr>
        <w:t>№6</w:t>
      </w:r>
    </w:p>
    <w:p w:rsidR="00F02E32" w:rsidRDefault="00F02E32" w:rsidP="00F02E32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02E32">
        <w:rPr>
          <w:rFonts w:ascii="Times New Roman" w:hAnsi="Times New Roman" w:cs="Times New Roman"/>
          <w:sz w:val="24"/>
          <w:szCs w:val="24"/>
          <w:lang w:val="ru-RU"/>
        </w:rPr>
        <w:t>Модели постепенных отказов</w:t>
      </w:r>
    </w:p>
    <w:p w:rsidR="00F02E32" w:rsidRDefault="00F02E32" w:rsidP="00F02E32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 Модели формирования тк5азов; 2. Процесс возникновения отказов.</w:t>
      </w:r>
    </w:p>
    <w:p w:rsidR="00F02E32" w:rsidRDefault="00F02E32" w:rsidP="00F02E32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F02E32" w:rsidRDefault="00F02E32" w:rsidP="00F02E32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F02E32">
        <w:rPr>
          <w:rFonts w:ascii="Times New Roman" w:hAnsi="Times New Roman" w:cs="Times New Roman"/>
          <w:sz w:val="24"/>
          <w:szCs w:val="24"/>
          <w:lang w:val="ru-RU"/>
        </w:rPr>
        <w:t>Постепенные отказы очень распространены. Именно такие отказы характерны для изделий с изнашивающимися узлами трения.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</w:t>
      </w:r>
      <w:r w:rsidRPr="00F02E32">
        <w:rPr>
          <w:rFonts w:ascii="Times New Roman" w:hAnsi="Times New Roman" w:cs="Times New Roman"/>
          <w:sz w:val="24"/>
          <w:szCs w:val="24"/>
          <w:lang w:val="ru-RU"/>
        </w:rPr>
        <w:t>азличные процессы повреждения приводят к изменению во в</w:t>
      </w:r>
      <w:r>
        <w:rPr>
          <w:rFonts w:ascii="Times New Roman" w:hAnsi="Times New Roman" w:cs="Times New Roman"/>
          <w:sz w:val="24"/>
          <w:szCs w:val="24"/>
          <w:lang w:val="ru-RU"/>
        </w:rPr>
        <w:t>ремени выходного параметра X</w:t>
      </w:r>
      <w:r w:rsidRPr="00F02E32">
        <w:rPr>
          <w:rFonts w:ascii="Times New Roman" w:hAnsi="Times New Roman" w:cs="Times New Roman"/>
          <w:sz w:val="24"/>
          <w:szCs w:val="24"/>
          <w:lang w:val="ru-RU"/>
        </w:rPr>
        <w:t>. Отказ возникнет при достижении параметром своего п</w:t>
      </w:r>
      <w:r>
        <w:rPr>
          <w:rFonts w:ascii="Times New Roman" w:hAnsi="Times New Roman" w:cs="Times New Roman"/>
          <w:sz w:val="24"/>
          <w:szCs w:val="24"/>
          <w:lang w:val="ru-RU"/>
        </w:rPr>
        <w:t>редельно допустимого значения Хм</w:t>
      </w:r>
      <w:r w:rsidRPr="00F02E32">
        <w:rPr>
          <w:rFonts w:ascii="Times New Roman" w:hAnsi="Times New Roman" w:cs="Times New Roman"/>
          <w:sz w:val="24"/>
          <w:szCs w:val="24"/>
          <w:lang w:val="ru-RU"/>
        </w:rPr>
        <w:t>ах, что произойдет через некоторый случайный промежуток времени работы изделия.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рис. 6.1</w:t>
      </w:r>
      <w:r w:rsidRPr="00F02E32">
        <w:rPr>
          <w:rFonts w:ascii="Times New Roman" w:hAnsi="Times New Roman" w:cs="Times New Roman"/>
          <w:sz w:val="24"/>
          <w:szCs w:val="24"/>
          <w:lang w:val="ru-RU"/>
        </w:rPr>
        <w:t xml:space="preserve"> показаны основные этапы формирования закона распределения f(t). Вначале имеет место рассеивание параметров изделия f(a) относительно своего математического ожидания а0. Это связано с рассеиванием начальных показателей новой машины, с возможностью ее работы при различных режимах и с протеканием таких процессов, как вибрация, деформация и др., которые проявляются сразу же при работе машины. Затем на ухудшении параметров изделия в процессе эксплуатации сказываются медленно протекающие процессы, </w:t>
      </w:r>
      <w:proofErr w:type="gramStart"/>
      <w:r w:rsidRPr="00F02E32"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 w:rsidRPr="00F02E32">
        <w:rPr>
          <w:rFonts w:ascii="Times New Roman" w:hAnsi="Times New Roman" w:cs="Times New Roman"/>
          <w:sz w:val="24"/>
          <w:szCs w:val="24"/>
          <w:lang w:val="ru-RU"/>
        </w:rPr>
        <w:t xml:space="preserve"> износ. В общем случае процесс изменения параметра может начаться через некоторый промежуток времени </w:t>
      </w:r>
      <w:proofErr w:type="spellStart"/>
      <w:r w:rsidRPr="00F02E32">
        <w:rPr>
          <w:rFonts w:ascii="Times New Roman" w:hAnsi="Times New Roman" w:cs="Times New Roman"/>
          <w:sz w:val="24"/>
          <w:szCs w:val="24"/>
          <w:lang w:val="ru-RU"/>
        </w:rPr>
        <w:t>Тв</w:t>
      </w:r>
      <w:proofErr w:type="spellEnd"/>
      <w:r w:rsidRPr="00F02E32">
        <w:rPr>
          <w:rFonts w:ascii="Times New Roman" w:hAnsi="Times New Roman" w:cs="Times New Roman"/>
          <w:sz w:val="24"/>
          <w:szCs w:val="24"/>
          <w:lang w:val="ru-RU"/>
        </w:rPr>
        <w:t>, который также является случайной величиной и связан с накоплением повреждений (например, усталостных) или с действием внешних причин.</w:t>
      </w:r>
    </w:p>
    <w:p w:rsidR="00F02E32" w:rsidRDefault="00F02E32" w:rsidP="00F02E32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Pr="00F02E3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886200" cy="2438400"/>
            <wp:effectExtent l="0" t="0" r="0" b="0"/>
            <wp:docPr id="1" name="Рисунок 1" descr="Общая схема формирования отк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щая схема формирования отказ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4E7" w:rsidRDefault="001A14E7" w:rsidP="00F02E32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02E32" w:rsidRDefault="001A14E7" w:rsidP="00F02E32">
      <w:pPr>
        <w:widowControl w:val="0"/>
        <w:spacing w:after="0" w:line="257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Рис. 6.1</w:t>
      </w:r>
      <w:r w:rsidRPr="001A14E7">
        <w:rPr>
          <w:rFonts w:ascii="Times New Roman" w:hAnsi="Times New Roman" w:cs="Times New Roman"/>
          <w:sz w:val="24"/>
          <w:szCs w:val="24"/>
          <w:lang w:val="ru-RU"/>
        </w:rPr>
        <w:t xml:space="preserve"> Общая схема формирования отказа</w:t>
      </w:r>
    </w:p>
    <w:p w:rsidR="001A14E7" w:rsidRDefault="001A14E7" w:rsidP="001A14E7">
      <w:pPr>
        <w:widowControl w:val="0"/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A14E7">
        <w:rPr>
          <w:rFonts w:ascii="Times New Roman" w:hAnsi="Times New Roman" w:cs="Times New Roman"/>
          <w:sz w:val="24"/>
          <w:szCs w:val="24"/>
          <w:lang w:val="ru-RU"/>
        </w:rPr>
        <w:t xml:space="preserve">Процесс изменения параметра X со скоростью ух также является случайным и зависит от изменения повреждений отдельных элементов изделия (их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износа со скоростью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Y2»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—»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1A14E7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всех этих явлений происходит формирование закона распределения </w:t>
      </w:r>
      <w:proofErr w:type="gramStart"/>
      <w:r w:rsidRPr="001A14E7">
        <w:rPr>
          <w:rFonts w:ascii="Times New Roman" w:hAnsi="Times New Roman" w:cs="Times New Roman"/>
          <w:sz w:val="24"/>
          <w:szCs w:val="24"/>
          <w:lang w:val="ru-RU"/>
        </w:rPr>
        <w:t>f(</w:t>
      </w:r>
      <w:proofErr w:type="gramEnd"/>
      <w:r w:rsidRPr="001A14E7">
        <w:rPr>
          <w:rFonts w:ascii="Times New Roman" w:hAnsi="Times New Roman" w:cs="Times New Roman"/>
          <w:sz w:val="24"/>
          <w:szCs w:val="24"/>
          <w:lang w:val="ru-RU"/>
        </w:rPr>
        <w:t xml:space="preserve">X; t), который определяет вероятность выхода параметра X за границу </w:t>
      </w:r>
      <w:proofErr w:type="spellStart"/>
      <w:r w:rsidRPr="001A14E7">
        <w:rPr>
          <w:rFonts w:ascii="Times New Roman" w:hAnsi="Times New Roman" w:cs="Times New Roman"/>
          <w:sz w:val="24"/>
          <w:szCs w:val="24"/>
          <w:lang w:val="ru-RU"/>
        </w:rPr>
        <w:t>Хтаху</w:t>
      </w:r>
      <w:proofErr w:type="spellEnd"/>
      <w:r w:rsidRPr="001A14E7">
        <w:rPr>
          <w:rFonts w:ascii="Times New Roman" w:hAnsi="Times New Roman" w:cs="Times New Roman"/>
          <w:sz w:val="24"/>
          <w:szCs w:val="24"/>
          <w:lang w:val="ru-RU"/>
        </w:rPr>
        <w:t xml:space="preserve"> т. е. вероятность отказа F(t) = 1 - P(t). </w:t>
      </w:r>
    </w:p>
    <w:p w:rsidR="00F02E32" w:rsidRDefault="001A14E7" w:rsidP="00F02E32">
      <w:pPr>
        <w:widowControl w:val="0"/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03D49" w:rsidRDefault="00F03D49" w:rsidP="00F02E32">
      <w:pPr>
        <w:widowControl w:val="0"/>
        <w:spacing w:after="0" w:line="257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Использованная литература</w:t>
      </w:r>
    </w:p>
    <w:p w:rsidR="00F03D49" w:rsidRPr="00F03D49" w:rsidRDefault="00F03D49" w:rsidP="00F03D49">
      <w:pPr>
        <w:widowControl w:val="0"/>
        <w:spacing w:after="0" w:line="257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F03D49">
        <w:rPr>
          <w:rFonts w:ascii="Times New Roman" w:hAnsi="Times New Roman" w:cs="Times New Roman"/>
          <w:sz w:val="24"/>
          <w:szCs w:val="24"/>
          <w:lang w:val="ru-RU"/>
        </w:rPr>
        <w:t>Горленко, О. А.  Прикладная механика: триботехнич</w:t>
      </w:r>
      <w:r>
        <w:rPr>
          <w:rFonts w:ascii="Times New Roman" w:hAnsi="Times New Roman" w:cs="Times New Roman"/>
          <w:sz w:val="24"/>
          <w:szCs w:val="24"/>
          <w:lang w:val="ru-RU"/>
        </w:rPr>
        <w:t>еские показатели качества машин</w:t>
      </w:r>
      <w:r w:rsidRPr="00F03D49">
        <w:rPr>
          <w:rFonts w:ascii="Times New Roman" w:hAnsi="Times New Roman" w:cs="Times New Roman"/>
          <w:sz w:val="24"/>
          <w:szCs w:val="24"/>
          <w:lang w:val="ru-RU"/>
        </w:rPr>
        <w:t>: учебное пособие для вузов / О. А. Горленко, В. П. Тихомиров, Г. А. Бишутин. — 2-е изд., испр</w:t>
      </w:r>
      <w:proofErr w:type="gramStart"/>
      <w:r w:rsidRPr="00F03D4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F03D49">
        <w:rPr>
          <w:rFonts w:ascii="Times New Roman" w:hAnsi="Times New Roman" w:cs="Times New Roman"/>
          <w:sz w:val="24"/>
          <w:szCs w:val="24"/>
          <w:lang w:val="ru-RU"/>
        </w:rPr>
        <w:t xml:space="preserve"> и доп.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Москва</w:t>
      </w:r>
      <w:r w:rsidRPr="00F03D49">
        <w:rPr>
          <w:rFonts w:ascii="Times New Roman" w:hAnsi="Times New Roman" w:cs="Times New Roman"/>
          <w:sz w:val="24"/>
          <w:szCs w:val="24"/>
          <w:lang w:val="ru-RU"/>
        </w:rPr>
        <w:t>: Издательство Юрайт, 2022. — 264 с.</w:t>
      </w:r>
    </w:p>
    <w:sectPr w:rsidR="00F03D49" w:rsidRPr="00F03D49" w:rsidSect="00F02E32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32"/>
    <w:rsid w:val="001A14E7"/>
    <w:rsid w:val="00C16625"/>
    <w:rsid w:val="00F02E32"/>
    <w:rsid w:val="00F0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81B57"/>
  <w15:chartTrackingRefBased/>
  <w15:docId w15:val="{B96037C8-DC9E-4F6E-8200-79C1B05A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Zhumanali Daribayev</dc:creator>
  <cp:keywords/>
  <dc:description/>
  <cp:lastModifiedBy>Zhumanali Daribayev</cp:lastModifiedBy>
  <cp:revision>1</cp:revision>
  <dcterms:created xsi:type="dcterms:W3CDTF">2022-10-25T13:23:00Z</dcterms:created>
  <dcterms:modified xsi:type="dcterms:W3CDTF">2022-10-25T13:50:00Z</dcterms:modified>
</cp:coreProperties>
</file>